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6D3" w:rsidRPr="004A46D3" w:rsidRDefault="00C96877" w:rsidP="00C96877">
      <w:pPr>
        <w:shd w:val="clear" w:color="auto" w:fill="FFFFFF"/>
        <w:spacing w:after="0" w:line="240" w:lineRule="auto"/>
        <w:rPr>
          <w:rFonts w:eastAsia="Times New Roman" w:cstheme="minorHAnsi"/>
          <w:b/>
          <w:bCs/>
          <w:color w:val="C00000"/>
          <w:sz w:val="36"/>
          <w:szCs w:val="24"/>
          <w:lang w:eastAsia="es-ES"/>
        </w:rPr>
      </w:pPr>
      <w:r w:rsidRPr="00C96877">
        <w:rPr>
          <w:rFonts w:eastAsia="Times New Roman" w:cstheme="minorHAnsi"/>
          <w:b/>
          <w:bCs/>
          <w:color w:val="C00000"/>
          <w:sz w:val="36"/>
          <w:szCs w:val="24"/>
          <w:lang w:eastAsia="es-ES"/>
        </w:rPr>
        <w:t xml:space="preserve">POLÍTICA DE EDUCACIÓN INCLUSIVA </w:t>
      </w:r>
    </w:p>
    <w:p w:rsidR="00C96877" w:rsidRPr="00C96877" w:rsidRDefault="004A46D3" w:rsidP="00C96877">
      <w:pPr>
        <w:shd w:val="clear" w:color="auto" w:fill="FFFFFF"/>
        <w:spacing w:after="0" w:line="240" w:lineRule="auto"/>
        <w:rPr>
          <w:rFonts w:eastAsia="Times New Roman" w:cstheme="minorHAnsi"/>
          <w:bCs/>
          <w:color w:val="0070C0"/>
          <w:sz w:val="32"/>
          <w:szCs w:val="24"/>
          <w:lang w:eastAsia="es-ES"/>
        </w:rPr>
      </w:pPr>
      <w:r w:rsidRPr="004A46D3">
        <w:rPr>
          <w:rFonts w:eastAsia="Times New Roman" w:cstheme="minorHAnsi"/>
          <w:bCs/>
          <w:color w:val="0070C0"/>
          <w:sz w:val="32"/>
          <w:szCs w:val="24"/>
          <w:lang w:eastAsia="es-ES"/>
        </w:rPr>
        <w:t>Provinc</w:t>
      </w:r>
      <w:r>
        <w:rPr>
          <w:rFonts w:eastAsia="Times New Roman" w:cstheme="minorHAnsi"/>
          <w:bCs/>
          <w:color w:val="0070C0"/>
          <w:sz w:val="32"/>
          <w:szCs w:val="24"/>
          <w:lang w:eastAsia="es-ES"/>
        </w:rPr>
        <w:t>ia escolapia de Nazaret (Colombia, Ecuador, Perú)</w:t>
      </w:r>
    </w:p>
    <w:p w:rsidR="00C96877" w:rsidRPr="00C96877" w:rsidRDefault="00C96877" w:rsidP="00C96877">
      <w:pPr>
        <w:shd w:val="clear" w:color="auto" w:fill="FFFFFF"/>
        <w:spacing w:after="0" w:line="240" w:lineRule="auto"/>
        <w:rPr>
          <w:rFonts w:eastAsia="Times New Roman" w:cstheme="minorHAnsi"/>
          <w:bCs/>
          <w:sz w:val="24"/>
          <w:szCs w:val="24"/>
          <w:lang w:eastAsia="es-ES"/>
        </w:rPr>
      </w:pPr>
    </w:p>
    <w:p w:rsidR="00C96877" w:rsidRPr="004A46D3" w:rsidRDefault="004A46D3" w:rsidP="004A46D3">
      <w:pPr>
        <w:shd w:val="clear" w:color="auto" w:fill="FFFFFF"/>
        <w:spacing w:before="120" w:after="0" w:line="240" w:lineRule="auto"/>
        <w:jc w:val="both"/>
        <w:rPr>
          <w:rFonts w:eastAsia="Times New Roman" w:cstheme="minorHAnsi"/>
          <w:bCs/>
          <w:szCs w:val="24"/>
          <w:lang w:eastAsia="es-ES"/>
        </w:rPr>
      </w:pPr>
      <w:r w:rsidRPr="004A46D3">
        <w:rPr>
          <w:rFonts w:cs="Roboto Lt"/>
          <w:color w:val="565655"/>
          <w:szCs w:val="23"/>
        </w:rPr>
        <w:t>La Provincia Nazaret de la Orden Religiosa de las Escuelas Pías se propuso entre sus Desafíos Educativos Provinciales para el cuatrienio 2011-2014, “hacer todo lo que esté a nuestro alcance para evitar la exclusión de niños y adolescentes en nuestros colegios y cooperar en la dinámica educativa mundial de integración de quienes han sido marginados por diversas circunstancias y causas” (Congregación Provincial, 2011). Como estrategias para la implementación de este desafío pensó en “desarrollar estructuras y dinámicas pedagógicas flexibles para estudiantes con NEE, acordes con nuestras posibilidades pedagógicas e institucionales”</w:t>
      </w:r>
    </w:p>
    <w:p w:rsidR="00C96877" w:rsidRPr="00C96877" w:rsidRDefault="004A46D3" w:rsidP="004A46D3">
      <w:pPr>
        <w:shd w:val="clear" w:color="auto" w:fill="FFFFFF"/>
        <w:spacing w:before="120" w:after="0" w:line="240" w:lineRule="auto"/>
        <w:jc w:val="both"/>
        <w:rPr>
          <w:rFonts w:eastAsia="Times New Roman" w:cstheme="minorHAnsi"/>
          <w:bCs/>
          <w:szCs w:val="24"/>
          <w:lang w:eastAsia="es-ES"/>
        </w:rPr>
      </w:pPr>
      <w:r w:rsidRPr="004A46D3">
        <w:rPr>
          <w:rFonts w:cs="Roboto Lt"/>
          <w:color w:val="565655"/>
          <w:szCs w:val="23"/>
        </w:rPr>
        <w:t>Esta apuesta provincial por la inclusión se enmarca dentro de las opciones del XLVI Capítulo General de la Orden Religiosa de las Escuelas Pías que al presentar los elementos fundamentales que expresan y sintetizan la identidad Calasancia de su ministerio educativo, sostiene: “la escuela Calasancia ha de estar permanentemente atenta a poner en práctica los avances de la didáctica moderna. Para ello sirven, la educación preferentemente personalizada, la multiplicidad de propuestas extracurriculares, la realización de un programa individual de formación para estudiantes superdotados, un especial cuidado en el trabajo con estudiantes que tengan dificultades de aprendizaje, la promoción de capacidades individuales” (Congregación General, 2009b, p. 37).</w:t>
      </w:r>
    </w:p>
    <w:p w:rsidR="004A46D3" w:rsidRPr="00C96877" w:rsidRDefault="004A46D3" w:rsidP="004A46D3">
      <w:pPr>
        <w:shd w:val="clear" w:color="auto" w:fill="FFFFFF"/>
        <w:spacing w:before="120" w:after="0" w:line="240" w:lineRule="auto"/>
        <w:jc w:val="both"/>
        <w:rPr>
          <w:rFonts w:eastAsia="Times New Roman" w:cstheme="minorHAnsi"/>
          <w:bCs/>
          <w:szCs w:val="24"/>
          <w:lang w:eastAsia="es-ES"/>
        </w:rPr>
      </w:pPr>
      <w:r w:rsidRPr="00C96877">
        <w:rPr>
          <w:rFonts w:eastAsia="Times New Roman" w:cstheme="minorHAnsi"/>
          <w:b/>
          <w:bCs/>
          <w:szCs w:val="24"/>
          <w:lang w:eastAsia="es-ES"/>
        </w:rPr>
        <w:t>La Política de Educación Inclusiva (PEDI)</w:t>
      </w:r>
      <w:r w:rsidRPr="00C96877">
        <w:rPr>
          <w:rFonts w:eastAsia="Times New Roman" w:cstheme="minorHAnsi"/>
          <w:bCs/>
          <w:szCs w:val="24"/>
          <w:lang w:eastAsia="es-ES"/>
        </w:rPr>
        <w:t xml:space="preserve"> de la Provincia Nazaret de las Escuelas Pías </w:t>
      </w:r>
      <w:r w:rsidRPr="004A46D3">
        <w:rPr>
          <w:rFonts w:eastAsia="Times New Roman" w:cstheme="minorHAnsi"/>
          <w:bCs/>
          <w:szCs w:val="24"/>
          <w:lang w:eastAsia="es-ES"/>
        </w:rPr>
        <w:t xml:space="preserve">es un documento que </w:t>
      </w:r>
      <w:r w:rsidRPr="004A46D3">
        <w:rPr>
          <w:rFonts w:eastAsia="Times New Roman" w:cstheme="minorHAnsi"/>
          <w:bCs/>
          <w:szCs w:val="24"/>
          <w:lang w:eastAsia="es-ES"/>
        </w:rPr>
        <w:t>pretende</w:t>
      </w:r>
      <w:r w:rsidRPr="00C96877">
        <w:rPr>
          <w:rFonts w:eastAsia="Times New Roman" w:cstheme="minorHAnsi"/>
          <w:bCs/>
          <w:szCs w:val="24"/>
          <w:lang w:eastAsia="es-ES"/>
        </w:rPr>
        <w:t xml:space="preserve"> fortalecer las prácticas de educación inclusiva </w:t>
      </w:r>
      <w:r w:rsidRPr="004A46D3">
        <w:rPr>
          <w:rFonts w:eastAsia="Times New Roman" w:cstheme="minorHAnsi"/>
          <w:bCs/>
          <w:szCs w:val="24"/>
          <w:lang w:eastAsia="es-ES"/>
        </w:rPr>
        <w:t xml:space="preserve">tomando como fundamento la Declaración de </w:t>
      </w:r>
      <w:r w:rsidRPr="00C96877">
        <w:rPr>
          <w:rFonts w:eastAsia="Times New Roman" w:cstheme="minorHAnsi"/>
          <w:bCs/>
          <w:szCs w:val="24"/>
          <w:lang w:eastAsia="es-ES"/>
        </w:rPr>
        <w:t xml:space="preserve">los Derechos Humanos. </w:t>
      </w:r>
      <w:r w:rsidRPr="004A46D3">
        <w:rPr>
          <w:rFonts w:eastAsia="Times New Roman" w:cstheme="minorHAnsi"/>
          <w:bCs/>
          <w:szCs w:val="24"/>
          <w:lang w:eastAsia="es-ES"/>
        </w:rPr>
        <w:t>Atiende</w:t>
      </w:r>
      <w:r w:rsidRPr="00C96877">
        <w:rPr>
          <w:rFonts w:eastAsia="Times New Roman" w:cstheme="minorHAnsi"/>
          <w:bCs/>
          <w:szCs w:val="24"/>
          <w:lang w:eastAsia="es-ES"/>
        </w:rPr>
        <w:t xml:space="preserve"> </w:t>
      </w:r>
      <w:r w:rsidRPr="004A46D3">
        <w:rPr>
          <w:rFonts w:eastAsia="Times New Roman" w:cstheme="minorHAnsi"/>
          <w:bCs/>
          <w:szCs w:val="24"/>
          <w:lang w:eastAsia="es-ES"/>
        </w:rPr>
        <w:t>la diversidad social y de aprendizaje</w:t>
      </w:r>
      <w:r w:rsidRPr="00C96877">
        <w:rPr>
          <w:rFonts w:eastAsia="Times New Roman" w:cstheme="minorHAnsi"/>
          <w:bCs/>
          <w:szCs w:val="24"/>
          <w:lang w:eastAsia="es-ES"/>
        </w:rPr>
        <w:t xml:space="preserve"> </w:t>
      </w:r>
      <w:r w:rsidRPr="004A46D3">
        <w:rPr>
          <w:rFonts w:eastAsia="Times New Roman" w:cstheme="minorHAnsi"/>
          <w:bCs/>
          <w:szCs w:val="24"/>
          <w:lang w:eastAsia="es-ES"/>
        </w:rPr>
        <w:t>desde el</w:t>
      </w:r>
      <w:r w:rsidRPr="00C96877">
        <w:rPr>
          <w:rFonts w:eastAsia="Times New Roman" w:cstheme="minorHAnsi"/>
          <w:bCs/>
          <w:szCs w:val="24"/>
          <w:lang w:eastAsia="es-ES"/>
        </w:rPr>
        <w:t xml:space="preserve"> trabajo en </w:t>
      </w:r>
      <w:r w:rsidRPr="004A46D3">
        <w:rPr>
          <w:rFonts w:eastAsia="Times New Roman" w:cstheme="minorHAnsi"/>
          <w:bCs/>
          <w:szCs w:val="24"/>
          <w:lang w:eastAsia="es-ES"/>
        </w:rPr>
        <w:t>equipo</w:t>
      </w:r>
      <w:r w:rsidRPr="00C96877">
        <w:rPr>
          <w:rFonts w:eastAsia="Times New Roman" w:cstheme="minorHAnsi"/>
          <w:bCs/>
          <w:szCs w:val="24"/>
          <w:lang w:eastAsia="es-ES"/>
        </w:rPr>
        <w:t xml:space="preserve"> para </w:t>
      </w:r>
      <w:r w:rsidRPr="004A46D3">
        <w:rPr>
          <w:rFonts w:eastAsia="Times New Roman" w:cstheme="minorHAnsi"/>
          <w:bCs/>
          <w:szCs w:val="24"/>
          <w:lang w:eastAsia="es-ES"/>
        </w:rPr>
        <w:t>crecer</w:t>
      </w:r>
      <w:r w:rsidRPr="00C96877">
        <w:rPr>
          <w:rFonts w:eastAsia="Times New Roman" w:cstheme="minorHAnsi"/>
          <w:bCs/>
          <w:szCs w:val="24"/>
          <w:lang w:eastAsia="es-ES"/>
        </w:rPr>
        <w:t xml:space="preserve"> en identidad Calasancia.</w:t>
      </w:r>
    </w:p>
    <w:p w:rsidR="004A46D3" w:rsidRPr="00C96877" w:rsidRDefault="004A46D3" w:rsidP="004A46D3">
      <w:pPr>
        <w:shd w:val="clear" w:color="auto" w:fill="FFFFFF"/>
        <w:spacing w:before="120" w:after="0" w:line="240" w:lineRule="auto"/>
        <w:jc w:val="both"/>
        <w:rPr>
          <w:rFonts w:eastAsia="Times New Roman" w:cstheme="minorHAnsi"/>
          <w:bCs/>
          <w:szCs w:val="24"/>
          <w:lang w:eastAsia="es-ES"/>
        </w:rPr>
      </w:pPr>
      <w:r w:rsidRPr="004A46D3">
        <w:rPr>
          <w:rFonts w:eastAsia="Times New Roman" w:cstheme="minorHAnsi"/>
          <w:bCs/>
          <w:szCs w:val="24"/>
          <w:lang w:eastAsia="es-ES"/>
        </w:rPr>
        <w:t>También</w:t>
      </w:r>
      <w:r w:rsidRPr="00C96877">
        <w:rPr>
          <w:rFonts w:eastAsia="Times New Roman" w:cstheme="minorHAnsi"/>
          <w:bCs/>
          <w:szCs w:val="24"/>
          <w:lang w:eastAsia="es-ES"/>
        </w:rPr>
        <w:t xml:space="preserve"> </w:t>
      </w:r>
      <w:r w:rsidRPr="004A46D3">
        <w:rPr>
          <w:rFonts w:eastAsia="Times New Roman" w:cstheme="minorHAnsi"/>
          <w:bCs/>
          <w:szCs w:val="24"/>
          <w:lang w:eastAsia="es-ES"/>
        </w:rPr>
        <w:t>busca una</w:t>
      </w:r>
      <w:r w:rsidRPr="00C96877">
        <w:rPr>
          <w:rFonts w:eastAsia="Times New Roman" w:cstheme="minorHAnsi"/>
          <w:bCs/>
          <w:szCs w:val="24"/>
          <w:lang w:eastAsia="es-ES"/>
        </w:rPr>
        <w:t xml:space="preserve"> educación de calidad, dentro de las limitaciones propias de </w:t>
      </w:r>
      <w:r w:rsidRPr="004A46D3">
        <w:rPr>
          <w:rFonts w:eastAsia="Times New Roman" w:cstheme="minorHAnsi"/>
          <w:bCs/>
          <w:szCs w:val="24"/>
          <w:lang w:eastAsia="es-ES"/>
        </w:rPr>
        <w:t>la escuela</w:t>
      </w:r>
      <w:r w:rsidRPr="00C96877">
        <w:rPr>
          <w:rFonts w:eastAsia="Times New Roman" w:cstheme="minorHAnsi"/>
          <w:bCs/>
          <w:szCs w:val="24"/>
          <w:lang w:eastAsia="es-ES"/>
        </w:rPr>
        <w:t xml:space="preserve">, a estudiantes con </w:t>
      </w:r>
      <w:r w:rsidRPr="004A46D3">
        <w:rPr>
          <w:rFonts w:eastAsia="Times New Roman" w:cstheme="minorHAnsi"/>
          <w:bCs/>
          <w:szCs w:val="24"/>
          <w:lang w:eastAsia="es-ES"/>
        </w:rPr>
        <w:t>necesidades educativas especiales</w:t>
      </w:r>
      <w:r w:rsidRPr="00C96877">
        <w:rPr>
          <w:rFonts w:eastAsia="Times New Roman" w:cstheme="minorHAnsi"/>
          <w:bCs/>
          <w:szCs w:val="24"/>
          <w:lang w:eastAsia="es-ES"/>
        </w:rPr>
        <w:t>, en</w:t>
      </w:r>
      <w:r w:rsidRPr="004A46D3">
        <w:rPr>
          <w:rFonts w:eastAsia="Times New Roman" w:cstheme="minorHAnsi"/>
          <w:bCs/>
          <w:szCs w:val="24"/>
          <w:lang w:eastAsia="es-ES"/>
        </w:rPr>
        <w:t xml:space="preserve"> condición de vulnerabilidad y </w:t>
      </w:r>
      <w:r w:rsidRPr="00C96877">
        <w:rPr>
          <w:rFonts w:eastAsia="Times New Roman" w:cstheme="minorHAnsi"/>
          <w:bCs/>
          <w:szCs w:val="24"/>
          <w:lang w:eastAsia="es-ES"/>
        </w:rPr>
        <w:t>con capacidades excepcionales.</w:t>
      </w:r>
    </w:p>
    <w:p w:rsidR="004A46D3" w:rsidRPr="00C96877" w:rsidRDefault="004A46D3" w:rsidP="004A46D3">
      <w:pPr>
        <w:shd w:val="clear" w:color="auto" w:fill="FFFFFF"/>
        <w:spacing w:before="120" w:after="0" w:line="240" w:lineRule="auto"/>
        <w:jc w:val="both"/>
        <w:rPr>
          <w:rFonts w:eastAsia="Times New Roman" w:cstheme="minorHAnsi"/>
          <w:bCs/>
          <w:szCs w:val="24"/>
          <w:lang w:eastAsia="es-ES"/>
        </w:rPr>
      </w:pPr>
      <w:r w:rsidRPr="004A46D3">
        <w:rPr>
          <w:rFonts w:eastAsia="Times New Roman" w:cstheme="minorHAnsi"/>
          <w:bCs/>
          <w:szCs w:val="24"/>
          <w:lang w:eastAsia="es-ES"/>
        </w:rPr>
        <w:t>Que la escuela sea inclusiva</w:t>
      </w:r>
      <w:r w:rsidRPr="00C96877">
        <w:rPr>
          <w:rFonts w:eastAsia="Times New Roman" w:cstheme="minorHAnsi"/>
          <w:bCs/>
          <w:szCs w:val="24"/>
          <w:lang w:eastAsia="es-ES"/>
        </w:rPr>
        <w:t xml:space="preserve"> </w:t>
      </w:r>
      <w:r w:rsidRPr="004A46D3">
        <w:rPr>
          <w:rFonts w:eastAsia="Times New Roman" w:cstheme="minorHAnsi"/>
          <w:bCs/>
          <w:szCs w:val="24"/>
          <w:lang w:eastAsia="es-ES"/>
        </w:rPr>
        <w:t>implica</w:t>
      </w:r>
      <w:r w:rsidRPr="00C96877">
        <w:rPr>
          <w:rFonts w:eastAsia="Times New Roman" w:cstheme="minorHAnsi"/>
          <w:bCs/>
          <w:szCs w:val="24"/>
          <w:lang w:eastAsia="es-ES"/>
        </w:rPr>
        <w:t xml:space="preserve"> reconocer las barreras institucionales </w:t>
      </w:r>
      <w:r w:rsidRPr="004A46D3">
        <w:rPr>
          <w:rFonts w:eastAsia="Times New Roman" w:cstheme="minorHAnsi"/>
          <w:bCs/>
          <w:szCs w:val="24"/>
          <w:lang w:eastAsia="es-ES"/>
        </w:rPr>
        <w:t>que se presentan. Tambien con lleva una gestión diligente</w:t>
      </w:r>
      <w:r w:rsidRPr="00C96877">
        <w:rPr>
          <w:rFonts w:eastAsia="Times New Roman" w:cstheme="minorHAnsi"/>
          <w:bCs/>
          <w:szCs w:val="24"/>
          <w:lang w:eastAsia="es-ES"/>
        </w:rPr>
        <w:t>, sostenible</w:t>
      </w:r>
      <w:r w:rsidRPr="004A46D3">
        <w:rPr>
          <w:rFonts w:eastAsia="Times New Roman" w:cstheme="minorHAnsi"/>
          <w:bCs/>
          <w:szCs w:val="24"/>
          <w:lang w:eastAsia="es-ES"/>
        </w:rPr>
        <w:t xml:space="preserve"> desde</w:t>
      </w:r>
      <w:r w:rsidRPr="00C96877">
        <w:rPr>
          <w:rFonts w:eastAsia="Times New Roman" w:cstheme="minorHAnsi"/>
          <w:bCs/>
          <w:szCs w:val="24"/>
          <w:lang w:eastAsia="es-ES"/>
        </w:rPr>
        <w:t xml:space="preserve"> la </w:t>
      </w:r>
      <w:r w:rsidRPr="004A46D3">
        <w:rPr>
          <w:rFonts w:eastAsia="Times New Roman" w:cstheme="minorHAnsi"/>
          <w:bCs/>
          <w:szCs w:val="24"/>
          <w:lang w:eastAsia="es-ES"/>
        </w:rPr>
        <w:t>corresponsabilidad</w:t>
      </w:r>
      <w:r w:rsidRPr="00C96877">
        <w:rPr>
          <w:rFonts w:eastAsia="Times New Roman" w:cstheme="minorHAnsi"/>
          <w:bCs/>
          <w:szCs w:val="24"/>
          <w:lang w:eastAsia="es-ES"/>
        </w:rPr>
        <w:t xml:space="preserve"> </w:t>
      </w:r>
      <w:r w:rsidRPr="004A46D3">
        <w:rPr>
          <w:rFonts w:eastAsia="Times New Roman" w:cstheme="minorHAnsi"/>
          <w:bCs/>
          <w:szCs w:val="24"/>
          <w:lang w:eastAsia="es-ES"/>
        </w:rPr>
        <w:t>con otras instituciones</w:t>
      </w:r>
      <w:r w:rsidRPr="00C96877">
        <w:rPr>
          <w:rFonts w:eastAsia="Times New Roman" w:cstheme="minorHAnsi"/>
          <w:bCs/>
          <w:szCs w:val="24"/>
          <w:lang w:eastAsia="es-ES"/>
        </w:rPr>
        <w:t> </w:t>
      </w:r>
      <w:r w:rsidRPr="004A46D3">
        <w:rPr>
          <w:rFonts w:eastAsia="Times New Roman" w:cstheme="minorHAnsi"/>
          <w:bCs/>
          <w:szCs w:val="24"/>
          <w:lang w:eastAsia="es-ES"/>
        </w:rPr>
        <w:t xml:space="preserve">educativas </w:t>
      </w:r>
      <w:r w:rsidRPr="00C96877">
        <w:rPr>
          <w:rFonts w:eastAsia="Times New Roman" w:cstheme="minorHAnsi"/>
          <w:bCs/>
          <w:szCs w:val="24"/>
          <w:lang w:eastAsia="es-ES"/>
        </w:rPr>
        <w:t>(familia, colegio, institutos, Estado…) y la cooperación</w:t>
      </w:r>
      <w:r w:rsidRPr="004A46D3">
        <w:rPr>
          <w:rFonts w:eastAsia="Times New Roman" w:cstheme="minorHAnsi"/>
          <w:bCs/>
          <w:szCs w:val="24"/>
          <w:lang w:eastAsia="es-ES"/>
        </w:rPr>
        <w:t xml:space="preserve"> </w:t>
      </w:r>
      <w:r w:rsidRPr="00C96877">
        <w:rPr>
          <w:rFonts w:eastAsia="Times New Roman" w:cstheme="minorHAnsi"/>
          <w:bCs/>
          <w:szCs w:val="24"/>
          <w:lang w:eastAsia="es-ES"/>
        </w:rPr>
        <w:t>intersectorial (salud, educación, justicia, sociedad civil…).</w:t>
      </w:r>
    </w:p>
    <w:p w:rsidR="004A46D3" w:rsidRPr="004A46D3" w:rsidRDefault="004A46D3" w:rsidP="004A46D3">
      <w:pPr>
        <w:shd w:val="clear" w:color="auto" w:fill="FFFFFF"/>
        <w:spacing w:before="120" w:after="0" w:line="240" w:lineRule="auto"/>
        <w:jc w:val="both"/>
        <w:rPr>
          <w:rFonts w:eastAsia="Times New Roman" w:cstheme="minorHAnsi"/>
          <w:bCs/>
          <w:szCs w:val="24"/>
          <w:lang w:eastAsia="es-ES"/>
        </w:rPr>
      </w:pPr>
      <w:r w:rsidRPr="00C96877">
        <w:rPr>
          <w:rFonts w:eastAsia="Times New Roman" w:cstheme="minorHAnsi"/>
          <w:bCs/>
          <w:szCs w:val="24"/>
          <w:lang w:eastAsia="es-ES"/>
        </w:rPr>
        <w:t>Los procesos de enseñanza y aprendizaje (pedagogía, innovación, investigación, mantenimiento, administración, movilidad, accesibilidad, entre otros) son susceptibles de mejora continua e innovación, en clave de educación inclusiva e identidad escolapia.</w:t>
      </w:r>
    </w:p>
    <w:p w:rsidR="00A92C4B" w:rsidRPr="00C96877" w:rsidRDefault="00A92C4B">
      <w:pPr>
        <w:rPr>
          <w:rFonts w:cstheme="minorHAnsi"/>
        </w:rPr>
      </w:pPr>
    </w:p>
    <w:p w:rsidR="00C96877" w:rsidRPr="004A46D3" w:rsidRDefault="004A46D3">
      <w:pPr>
        <w:rPr>
          <w:rFonts w:cstheme="minorHAnsi"/>
          <w:b/>
        </w:rPr>
      </w:pPr>
      <w:r w:rsidRPr="004A46D3">
        <w:rPr>
          <w:rFonts w:cstheme="minorHAnsi"/>
          <w:b/>
        </w:rPr>
        <w:t>DOCUMENTO ADJUNTO</w:t>
      </w:r>
    </w:p>
    <w:p w:rsidR="00C96877" w:rsidRDefault="00C96877"/>
    <w:p w:rsidR="004A46D3" w:rsidRDefault="004A46D3">
      <w:bookmarkStart w:id="0" w:name="_GoBack"/>
      <w:bookmarkEnd w:id="0"/>
    </w:p>
    <w:p w:rsidR="00C96877" w:rsidRPr="00C96877" w:rsidRDefault="00C96877" w:rsidP="00C96877">
      <w:pPr>
        <w:shd w:val="clear" w:color="auto" w:fill="FFFFFF"/>
        <w:spacing w:after="0" w:line="240" w:lineRule="auto"/>
        <w:rPr>
          <w:rFonts w:ascii="Trebuchet MS" w:eastAsia="Times New Roman" w:hAnsi="Trebuchet MS" w:cs="Times New Roman"/>
          <w:b/>
          <w:bCs/>
          <w:color w:val="006FC9"/>
          <w:sz w:val="24"/>
          <w:szCs w:val="24"/>
          <w:lang w:eastAsia="es-ES"/>
        </w:rPr>
      </w:pPr>
      <w:r w:rsidRPr="00C96877">
        <w:rPr>
          <w:rFonts w:ascii="Trebuchet MS" w:eastAsia="Times New Roman" w:hAnsi="Trebuchet MS" w:cs="Times New Roman"/>
          <w:b/>
          <w:bCs/>
          <w:color w:val="006FC9"/>
          <w:sz w:val="24"/>
          <w:szCs w:val="24"/>
          <w:lang w:eastAsia="es-ES"/>
        </w:rPr>
        <w:t>2. EXPERIENCIA TANTI CALASANZ- Colegio Calasanz Medellín </w:t>
      </w:r>
    </w:p>
    <w:p w:rsidR="00C96877" w:rsidRPr="00C96877" w:rsidRDefault="00C96877" w:rsidP="00C96877">
      <w:pPr>
        <w:shd w:val="clear" w:color="auto" w:fill="FFFFFF"/>
        <w:spacing w:after="0" w:line="240" w:lineRule="auto"/>
        <w:rPr>
          <w:rFonts w:ascii="Trebuchet MS" w:eastAsia="Times New Roman" w:hAnsi="Trebuchet MS" w:cs="Times New Roman"/>
          <w:b/>
          <w:bCs/>
          <w:color w:val="006FC9"/>
          <w:sz w:val="24"/>
          <w:szCs w:val="24"/>
          <w:lang w:eastAsia="es-ES"/>
        </w:rPr>
      </w:pPr>
      <w:r w:rsidRPr="00C96877">
        <w:rPr>
          <w:rFonts w:ascii="Trebuchet MS" w:eastAsia="Times New Roman" w:hAnsi="Trebuchet MS" w:cs="Times New Roman"/>
          <w:b/>
          <w:bCs/>
          <w:color w:val="006FC9"/>
          <w:sz w:val="24"/>
          <w:szCs w:val="24"/>
          <w:lang w:eastAsia="es-ES"/>
        </w:rPr>
        <w:t>ANEXO documento</w:t>
      </w:r>
    </w:p>
    <w:p w:rsidR="00C96877" w:rsidRPr="00C96877" w:rsidRDefault="00C96877" w:rsidP="00C96877">
      <w:pPr>
        <w:shd w:val="clear" w:color="auto" w:fill="FFFFFF"/>
        <w:spacing w:after="0" w:line="240" w:lineRule="auto"/>
        <w:rPr>
          <w:rFonts w:ascii="Trebuchet MS" w:eastAsia="Times New Roman" w:hAnsi="Trebuchet MS" w:cs="Times New Roman"/>
          <w:b/>
          <w:bCs/>
          <w:color w:val="006FC9"/>
          <w:sz w:val="24"/>
          <w:szCs w:val="24"/>
          <w:lang w:eastAsia="es-ES"/>
        </w:rPr>
      </w:pPr>
    </w:p>
    <w:p w:rsidR="00C96877" w:rsidRPr="00C96877" w:rsidRDefault="00C96877" w:rsidP="00C96877">
      <w:pPr>
        <w:shd w:val="clear" w:color="auto" w:fill="FFFFFF"/>
        <w:spacing w:after="0" w:line="240" w:lineRule="auto"/>
        <w:rPr>
          <w:rFonts w:ascii="Trebuchet MS" w:eastAsia="Times New Roman" w:hAnsi="Trebuchet MS" w:cs="Times New Roman"/>
          <w:b/>
          <w:bCs/>
          <w:color w:val="006FC9"/>
          <w:sz w:val="24"/>
          <w:szCs w:val="24"/>
          <w:lang w:eastAsia="es-ES"/>
        </w:rPr>
      </w:pPr>
      <w:r w:rsidRPr="00C96877">
        <w:rPr>
          <w:rFonts w:ascii="Calibri Light" w:eastAsia="Times New Roman" w:hAnsi="Calibri Light" w:cs="Calibri Light"/>
          <w:b/>
          <w:bCs/>
          <w:color w:val="006FC9"/>
          <w:sz w:val="24"/>
          <w:szCs w:val="24"/>
          <w:lang w:eastAsia="es-ES"/>
        </w:rPr>
        <w:t xml:space="preserve">Una de las mayores preocupaciones de la educación es responder a las necesidades que presentan los niños, niñas y jóvenes en la actualidad dentro de un marco diverso e inclusivo, atender la diferencia, la vulnerabilidad, las discapacidades y/o los talentos excepcionales y en general la diversidad del aprendizaje en el aula. En este sentido, uno de los desafíos de nuestra institución es trabajar arduamente por la configuración de </w:t>
      </w:r>
      <w:r w:rsidRPr="00C96877">
        <w:rPr>
          <w:rFonts w:ascii="Calibri Light" w:eastAsia="Times New Roman" w:hAnsi="Calibri Light" w:cs="Calibri Light"/>
          <w:b/>
          <w:bCs/>
          <w:color w:val="006FC9"/>
          <w:sz w:val="24"/>
          <w:szCs w:val="24"/>
          <w:lang w:eastAsia="es-ES"/>
        </w:rPr>
        <w:lastRenderedPageBreak/>
        <w:t xml:space="preserve">escenarios inclusivos que tengan la mirada puesta en el principio de equidad y oportunidad para todos. Este desafío se ha materializado de múltiples maneras, pero específicamente esta experiencia hará referencia al proceso llevado a cabo con </w:t>
      </w:r>
      <w:proofErr w:type="spellStart"/>
      <w:r w:rsidRPr="00C96877">
        <w:rPr>
          <w:rFonts w:ascii="Calibri Light" w:eastAsia="Times New Roman" w:hAnsi="Calibri Light" w:cs="Calibri Light"/>
          <w:b/>
          <w:bCs/>
          <w:color w:val="006FC9"/>
          <w:sz w:val="24"/>
          <w:szCs w:val="24"/>
          <w:lang w:eastAsia="es-ES"/>
        </w:rPr>
        <w:t>Tanti</w:t>
      </w:r>
      <w:proofErr w:type="spellEnd"/>
      <w:r w:rsidRPr="00C96877">
        <w:rPr>
          <w:rFonts w:ascii="Calibri Light" w:eastAsia="Times New Roman" w:hAnsi="Calibri Light" w:cs="Calibri Light"/>
          <w:b/>
          <w:bCs/>
          <w:color w:val="006FC9"/>
          <w:sz w:val="24"/>
          <w:szCs w:val="24"/>
          <w:lang w:eastAsia="es-ES"/>
        </w:rPr>
        <w:t xml:space="preserve">”, un estudiante de Preescolar diagnosticado con trastorno generalizado del desarrollo asociado a una discapacidad intelectual. Es importante referir que, en un primer momento la llegada de </w:t>
      </w:r>
      <w:proofErr w:type="spellStart"/>
      <w:r w:rsidRPr="00C96877">
        <w:rPr>
          <w:rFonts w:ascii="Calibri Light" w:eastAsia="Times New Roman" w:hAnsi="Calibri Light" w:cs="Calibri Light"/>
          <w:b/>
          <w:bCs/>
          <w:color w:val="006FC9"/>
          <w:sz w:val="24"/>
          <w:szCs w:val="24"/>
          <w:lang w:eastAsia="es-ES"/>
        </w:rPr>
        <w:t>Tanti</w:t>
      </w:r>
      <w:proofErr w:type="spellEnd"/>
      <w:r w:rsidRPr="00C96877">
        <w:rPr>
          <w:rFonts w:ascii="Calibri Light" w:eastAsia="Times New Roman" w:hAnsi="Calibri Light" w:cs="Calibri Light"/>
          <w:b/>
          <w:bCs/>
          <w:color w:val="006FC9"/>
          <w:sz w:val="24"/>
          <w:szCs w:val="24"/>
          <w:lang w:eastAsia="es-ES"/>
        </w:rPr>
        <w:t xml:space="preserve">” a la institución generó en los maestros y directivos preocupación por la forma adecuada de dar respuesta a su diagnóstico a nivel metodológico, evaluativo y curricular, atendiendo a que dentro del grupo ya se contaba con otros casos relacionados con dificultades atencionales y comportamentales asociadas al desempeño escolar. (Evidencia A) Con el ánimo de tender lazo pedagógico y generar acciones favorecedoras del proceso inclusivo, el Departamento de Desarrollo Humano propuso desde su gestión un perfil profesional acorde al requerimiento para que asumiera el liderazgo de aquellos casos que se identificaban en el colegio y que necesitaban un apoyo o ajuste educativo, acompañando a los maestros y las familias en el marco de la Política de Educación Inclusiva Provincial en adelante (PEDI). En consecuencia, de lo anterior en el año 2020 nace el cargo de docente de apoyo pedagógico según normatividad incluida en el decreto 1421 de agosto de 29 de 2017 con el objetivo de acompañar pedagógicamente la comunidad educativa en todo lo relacionado con las prácticas y estrategias inclusivas, asumiendo a su vez el rol de Gestora PEDI dando así continuidad al camino de una escuela inclusiva e incluyente tal y como la requería </w:t>
      </w:r>
      <w:proofErr w:type="spellStart"/>
      <w:r w:rsidRPr="00C96877">
        <w:rPr>
          <w:rFonts w:ascii="Calibri Light" w:eastAsia="Times New Roman" w:hAnsi="Calibri Light" w:cs="Calibri Light"/>
          <w:b/>
          <w:bCs/>
          <w:color w:val="006FC9"/>
          <w:sz w:val="24"/>
          <w:szCs w:val="24"/>
          <w:lang w:eastAsia="es-ES"/>
        </w:rPr>
        <w:t>Tanti</w:t>
      </w:r>
      <w:proofErr w:type="spellEnd"/>
      <w:r w:rsidRPr="00C96877">
        <w:rPr>
          <w:rFonts w:ascii="Calibri Light" w:eastAsia="Times New Roman" w:hAnsi="Calibri Light" w:cs="Calibri Light"/>
          <w:b/>
          <w:bCs/>
          <w:color w:val="006FC9"/>
          <w:sz w:val="24"/>
          <w:szCs w:val="24"/>
          <w:lang w:eastAsia="es-ES"/>
        </w:rPr>
        <w:t>”.</w:t>
      </w:r>
    </w:p>
    <w:p w:rsidR="00C96877" w:rsidRPr="00C96877" w:rsidRDefault="00C96877" w:rsidP="00C96877">
      <w:pPr>
        <w:shd w:val="clear" w:color="auto" w:fill="FFFFFF"/>
        <w:spacing w:after="0" w:line="240" w:lineRule="auto"/>
        <w:rPr>
          <w:rFonts w:ascii="Trebuchet MS" w:eastAsia="Times New Roman" w:hAnsi="Trebuchet MS" w:cs="Times New Roman"/>
          <w:b/>
          <w:bCs/>
          <w:color w:val="006FC9"/>
          <w:sz w:val="24"/>
          <w:szCs w:val="24"/>
          <w:lang w:eastAsia="es-ES"/>
        </w:rPr>
      </w:pPr>
    </w:p>
    <w:p w:rsidR="00C96877" w:rsidRPr="00C96877" w:rsidRDefault="00C96877" w:rsidP="00C96877">
      <w:pPr>
        <w:shd w:val="clear" w:color="auto" w:fill="FFFFFF"/>
        <w:spacing w:after="0" w:line="240" w:lineRule="auto"/>
        <w:rPr>
          <w:rFonts w:ascii="Trebuchet MS" w:eastAsia="Times New Roman" w:hAnsi="Trebuchet MS" w:cs="Times New Roman"/>
          <w:b/>
          <w:bCs/>
          <w:color w:val="006FC9"/>
          <w:sz w:val="24"/>
          <w:szCs w:val="24"/>
          <w:lang w:eastAsia="es-ES"/>
        </w:rPr>
      </w:pPr>
      <w:r w:rsidRPr="00C96877">
        <w:rPr>
          <w:rFonts w:ascii="Calibri Light" w:eastAsia="Times New Roman" w:hAnsi="Calibri Light" w:cs="Calibri Light"/>
          <w:b/>
          <w:bCs/>
          <w:i/>
          <w:iCs/>
          <w:color w:val="006FC9"/>
          <w:sz w:val="24"/>
          <w:szCs w:val="24"/>
          <w:lang w:eastAsia="es-ES"/>
        </w:rPr>
        <w:t>Autoras: Adriana María Moreno Agudelo PEDI CCM y Verónica Valderrama Gómez coordinadora académica CCM.</w:t>
      </w:r>
    </w:p>
    <w:p w:rsidR="00C96877" w:rsidRDefault="00C96877"/>
    <w:sectPr w:rsidR="00C968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Roboto Lt">
    <w:altName w:val="Roboto L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F6EBD"/>
    <w:multiLevelType w:val="multilevel"/>
    <w:tmpl w:val="16D68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877"/>
    <w:rsid w:val="004A46D3"/>
    <w:rsid w:val="00A92C4B"/>
    <w:rsid w:val="00C968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7EDC"/>
  <w15:chartTrackingRefBased/>
  <w15:docId w15:val="{444B6C96-0382-4C15-B758-C1FE59117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899940">
      <w:bodyDiv w:val="1"/>
      <w:marLeft w:val="0"/>
      <w:marRight w:val="0"/>
      <w:marTop w:val="0"/>
      <w:marBottom w:val="0"/>
      <w:divBdr>
        <w:top w:val="none" w:sz="0" w:space="0" w:color="auto"/>
        <w:left w:val="none" w:sz="0" w:space="0" w:color="auto"/>
        <w:bottom w:val="none" w:sz="0" w:space="0" w:color="auto"/>
        <w:right w:val="none" w:sz="0" w:space="0" w:color="auto"/>
      </w:divBdr>
      <w:divsChild>
        <w:div w:id="1001657741">
          <w:marLeft w:val="0"/>
          <w:marRight w:val="0"/>
          <w:marTop w:val="0"/>
          <w:marBottom w:val="0"/>
          <w:divBdr>
            <w:top w:val="none" w:sz="0" w:space="0" w:color="auto"/>
            <w:left w:val="none" w:sz="0" w:space="0" w:color="auto"/>
            <w:bottom w:val="none" w:sz="0" w:space="0" w:color="auto"/>
            <w:right w:val="none" w:sz="0" w:space="0" w:color="auto"/>
          </w:divBdr>
        </w:div>
        <w:div w:id="1456370662">
          <w:marLeft w:val="0"/>
          <w:marRight w:val="0"/>
          <w:marTop w:val="0"/>
          <w:marBottom w:val="0"/>
          <w:divBdr>
            <w:top w:val="none" w:sz="0" w:space="0" w:color="auto"/>
            <w:left w:val="none" w:sz="0" w:space="0" w:color="auto"/>
            <w:bottom w:val="none" w:sz="0" w:space="0" w:color="auto"/>
            <w:right w:val="none" w:sz="0" w:space="0" w:color="auto"/>
          </w:divBdr>
        </w:div>
        <w:div w:id="1928728014">
          <w:marLeft w:val="0"/>
          <w:marRight w:val="0"/>
          <w:marTop w:val="0"/>
          <w:marBottom w:val="0"/>
          <w:divBdr>
            <w:top w:val="none" w:sz="0" w:space="0" w:color="auto"/>
            <w:left w:val="none" w:sz="0" w:space="0" w:color="auto"/>
            <w:bottom w:val="none" w:sz="0" w:space="0" w:color="auto"/>
            <w:right w:val="none" w:sz="0" w:space="0" w:color="auto"/>
          </w:divBdr>
        </w:div>
        <w:div w:id="516235034">
          <w:marLeft w:val="0"/>
          <w:marRight w:val="0"/>
          <w:marTop w:val="0"/>
          <w:marBottom w:val="0"/>
          <w:divBdr>
            <w:top w:val="none" w:sz="0" w:space="0" w:color="auto"/>
            <w:left w:val="none" w:sz="0" w:space="0" w:color="auto"/>
            <w:bottom w:val="none" w:sz="0" w:space="0" w:color="auto"/>
            <w:right w:val="none" w:sz="0" w:space="0" w:color="auto"/>
          </w:divBdr>
        </w:div>
      </w:divsChild>
    </w:div>
    <w:div w:id="2051344093">
      <w:bodyDiv w:val="1"/>
      <w:marLeft w:val="0"/>
      <w:marRight w:val="0"/>
      <w:marTop w:val="0"/>
      <w:marBottom w:val="0"/>
      <w:divBdr>
        <w:top w:val="none" w:sz="0" w:space="0" w:color="auto"/>
        <w:left w:val="none" w:sz="0" w:space="0" w:color="auto"/>
        <w:bottom w:val="none" w:sz="0" w:space="0" w:color="auto"/>
        <w:right w:val="none" w:sz="0" w:space="0" w:color="auto"/>
      </w:divBdr>
      <w:divsChild>
        <w:div w:id="1657149801">
          <w:marLeft w:val="0"/>
          <w:marRight w:val="0"/>
          <w:marTop w:val="0"/>
          <w:marBottom w:val="0"/>
          <w:divBdr>
            <w:top w:val="none" w:sz="0" w:space="0" w:color="auto"/>
            <w:left w:val="none" w:sz="0" w:space="0" w:color="auto"/>
            <w:bottom w:val="none" w:sz="0" w:space="0" w:color="auto"/>
            <w:right w:val="none" w:sz="0" w:space="0" w:color="auto"/>
          </w:divBdr>
          <w:divsChild>
            <w:div w:id="256669836">
              <w:marLeft w:val="0"/>
              <w:marRight w:val="0"/>
              <w:marTop w:val="0"/>
              <w:marBottom w:val="0"/>
              <w:divBdr>
                <w:top w:val="none" w:sz="0" w:space="0" w:color="auto"/>
                <w:left w:val="none" w:sz="0" w:space="0" w:color="auto"/>
                <w:bottom w:val="none" w:sz="0" w:space="0" w:color="auto"/>
                <w:right w:val="none" w:sz="0" w:space="0" w:color="auto"/>
              </w:divBdr>
            </w:div>
            <w:div w:id="1182431927">
              <w:marLeft w:val="0"/>
              <w:marRight w:val="0"/>
              <w:marTop w:val="0"/>
              <w:marBottom w:val="0"/>
              <w:divBdr>
                <w:top w:val="none" w:sz="0" w:space="0" w:color="auto"/>
                <w:left w:val="none" w:sz="0" w:space="0" w:color="auto"/>
                <w:bottom w:val="none" w:sz="0" w:space="0" w:color="auto"/>
                <w:right w:val="none" w:sz="0" w:space="0" w:color="auto"/>
              </w:divBdr>
            </w:div>
            <w:div w:id="1562405338">
              <w:marLeft w:val="0"/>
              <w:marRight w:val="0"/>
              <w:marTop w:val="0"/>
              <w:marBottom w:val="0"/>
              <w:divBdr>
                <w:top w:val="none" w:sz="0" w:space="0" w:color="auto"/>
                <w:left w:val="none" w:sz="0" w:space="0" w:color="auto"/>
                <w:bottom w:val="none" w:sz="0" w:space="0" w:color="auto"/>
                <w:right w:val="none" w:sz="0" w:space="0" w:color="auto"/>
              </w:divBdr>
            </w:div>
            <w:div w:id="960307181">
              <w:marLeft w:val="0"/>
              <w:marRight w:val="0"/>
              <w:marTop w:val="0"/>
              <w:marBottom w:val="0"/>
              <w:divBdr>
                <w:top w:val="none" w:sz="0" w:space="0" w:color="auto"/>
                <w:left w:val="none" w:sz="0" w:space="0" w:color="auto"/>
                <w:bottom w:val="none" w:sz="0" w:space="0" w:color="auto"/>
                <w:right w:val="none" w:sz="0" w:space="0" w:color="auto"/>
              </w:divBdr>
              <w:divsChild>
                <w:div w:id="105737179">
                  <w:marLeft w:val="0"/>
                  <w:marRight w:val="0"/>
                  <w:marTop w:val="0"/>
                  <w:marBottom w:val="0"/>
                  <w:divBdr>
                    <w:top w:val="none" w:sz="0" w:space="0" w:color="auto"/>
                    <w:left w:val="none" w:sz="0" w:space="0" w:color="auto"/>
                    <w:bottom w:val="none" w:sz="0" w:space="0" w:color="auto"/>
                    <w:right w:val="none" w:sz="0" w:space="0" w:color="auto"/>
                  </w:divBdr>
                </w:div>
                <w:div w:id="1511139392">
                  <w:marLeft w:val="0"/>
                  <w:marRight w:val="0"/>
                  <w:marTop w:val="0"/>
                  <w:marBottom w:val="0"/>
                  <w:divBdr>
                    <w:top w:val="none" w:sz="0" w:space="0" w:color="auto"/>
                    <w:left w:val="none" w:sz="0" w:space="0" w:color="auto"/>
                    <w:bottom w:val="none" w:sz="0" w:space="0" w:color="auto"/>
                    <w:right w:val="none" w:sz="0" w:space="0" w:color="auto"/>
                  </w:divBdr>
                </w:div>
                <w:div w:id="993485405">
                  <w:marLeft w:val="0"/>
                  <w:marRight w:val="0"/>
                  <w:marTop w:val="0"/>
                  <w:marBottom w:val="0"/>
                  <w:divBdr>
                    <w:top w:val="none" w:sz="0" w:space="0" w:color="auto"/>
                    <w:left w:val="none" w:sz="0" w:space="0" w:color="auto"/>
                    <w:bottom w:val="none" w:sz="0" w:space="0" w:color="auto"/>
                    <w:right w:val="none" w:sz="0" w:space="0" w:color="auto"/>
                  </w:divBdr>
                </w:div>
                <w:div w:id="727536989">
                  <w:marLeft w:val="0"/>
                  <w:marRight w:val="0"/>
                  <w:marTop w:val="0"/>
                  <w:marBottom w:val="0"/>
                  <w:divBdr>
                    <w:top w:val="none" w:sz="0" w:space="0" w:color="auto"/>
                    <w:left w:val="none" w:sz="0" w:space="0" w:color="auto"/>
                    <w:bottom w:val="none" w:sz="0" w:space="0" w:color="auto"/>
                    <w:right w:val="none" w:sz="0" w:space="0" w:color="auto"/>
                  </w:divBdr>
                </w:div>
                <w:div w:id="1739209389">
                  <w:marLeft w:val="0"/>
                  <w:marRight w:val="0"/>
                  <w:marTop w:val="0"/>
                  <w:marBottom w:val="0"/>
                  <w:divBdr>
                    <w:top w:val="none" w:sz="0" w:space="0" w:color="auto"/>
                    <w:left w:val="none" w:sz="0" w:space="0" w:color="auto"/>
                    <w:bottom w:val="none" w:sz="0" w:space="0" w:color="auto"/>
                    <w:right w:val="none" w:sz="0" w:space="0" w:color="auto"/>
                  </w:divBdr>
                </w:div>
                <w:div w:id="725573137">
                  <w:marLeft w:val="0"/>
                  <w:marRight w:val="0"/>
                  <w:marTop w:val="0"/>
                  <w:marBottom w:val="0"/>
                  <w:divBdr>
                    <w:top w:val="none" w:sz="0" w:space="0" w:color="auto"/>
                    <w:left w:val="none" w:sz="0" w:space="0" w:color="auto"/>
                    <w:bottom w:val="none" w:sz="0" w:space="0" w:color="auto"/>
                    <w:right w:val="none" w:sz="0" w:space="0" w:color="auto"/>
                  </w:divBdr>
                </w:div>
                <w:div w:id="132285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758</Words>
  <Characters>4173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dc:creator>
  <cp:keywords/>
  <dc:description/>
  <cp:lastModifiedBy>Javier</cp:lastModifiedBy>
  <cp:revision>1</cp:revision>
  <dcterms:created xsi:type="dcterms:W3CDTF">2023-09-06T22:32:00Z</dcterms:created>
  <dcterms:modified xsi:type="dcterms:W3CDTF">2023-09-06T22:48:00Z</dcterms:modified>
</cp:coreProperties>
</file>